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A4B5DF">
      <w:pPr>
        <w:rPr>
          <w:rFonts w:hint="eastAsia"/>
        </w:rPr>
      </w:pPr>
    </w:p>
    <w:p w14:paraId="69D640C2">
      <w:pPr>
        <w:rPr>
          <w:rFonts w:hint="eastAsia"/>
        </w:rPr>
      </w:pPr>
    </w:p>
    <w:p w14:paraId="16A03E97">
      <w:pPr>
        <w:rPr>
          <w:rFonts w:hint="eastAsia"/>
        </w:rPr>
      </w:pPr>
    </w:p>
    <w:p w14:paraId="0B8BAF24">
      <w:pPr>
        <w:rPr>
          <w:rFonts w:hint="eastAsia"/>
        </w:rPr>
      </w:pPr>
    </w:p>
    <w:p w14:paraId="728BB98C">
      <w:pPr>
        <w:rPr>
          <w:rFonts w:hint="eastAsia"/>
        </w:rPr>
      </w:pPr>
    </w:p>
    <w:p w14:paraId="323DDD28">
      <w:pPr>
        <w:rPr>
          <w:rFonts w:hint="eastAsia"/>
        </w:rPr>
      </w:pPr>
    </w:p>
    <w:p w14:paraId="0D7E841E">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14:paraId="18803647">
      <w:pPr>
        <w:spacing w:line="540" w:lineRule="exact"/>
        <w:jc w:val="center"/>
        <w:rPr>
          <w:rFonts w:ascii="华文中宋" w:hAnsi="华文中宋" w:eastAsia="华文中宋" w:cs="宋体"/>
          <w:b/>
          <w:kern w:val="0"/>
          <w:sz w:val="52"/>
          <w:szCs w:val="52"/>
        </w:rPr>
      </w:pPr>
    </w:p>
    <w:p w14:paraId="051AE2F1">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Style w:val="5"/>
          <w:rFonts w:hint="eastAsia" w:ascii="楷体" w:hAnsi="楷体" w:eastAsia="楷体"/>
          <w:spacing w:val="-4"/>
          <w:sz w:val="32"/>
          <w:szCs w:val="32"/>
        </w:rPr>
        <w:t>2023</w:t>
      </w:r>
      <w:r>
        <w:rPr>
          <w:rFonts w:hint="eastAsia" w:hAnsi="宋体" w:eastAsia="仿宋_GB2312" w:cs="宋体"/>
          <w:kern w:val="0"/>
          <w:sz w:val="36"/>
          <w:szCs w:val="36"/>
        </w:rPr>
        <w:t>年度）</w:t>
      </w:r>
    </w:p>
    <w:p w14:paraId="41939F1F">
      <w:pPr>
        <w:spacing w:line="540" w:lineRule="exact"/>
        <w:jc w:val="center"/>
        <w:rPr>
          <w:rFonts w:hAnsi="宋体" w:eastAsia="仿宋_GB2312" w:cs="宋体"/>
          <w:kern w:val="0"/>
          <w:sz w:val="30"/>
          <w:szCs w:val="30"/>
        </w:rPr>
      </w:pPr>
    </w:p>
    <w:p w14:paraId="595D167E">
      <w:pPr>
        <w:spacing w:line="540" w:lineRule="exact"/>
        <w:jc w:val="center"/>
        <w:rPr>
          <w:rFonts w:hAnsi="宋体" w:eastAsia="仿宋_GB2312" w:cs="宋体"/>
          <w:kern w:val="0"/>
          <w:sz w:val="30"/>
          <w:szCs w:val="30"/>
        </w:rPr>
      </w:pPr>
    </w:p>
    <w:p w14:paraId="36374F22">
      <w:pPr>
        <w:spacing w:line="540" w:lineRule="exact"/>
        <w:jc w:val="center"/>
        <w:rPr>
          <w:rFonts w:ascii="方正小标宋_GBK" w:hAnsi="宋体" w:eastAsia="方正小标宋_GBK" w:cs="宋体"/>
          <w:kern w:val="0"/>
          <w:sz w:val="36"/>
          <w:szCs w:val="36"/>
        </w:rPr>
      </w:pPr>
    </w:p>
    <w:p w14:paraId="40E3E81C">
      <w:pPr>
        <w:spacing w:line="540" w:lineRule="exact"/>
        <w:jc w:val="center"/>
        <w:rPr>
          <w:rFonts w:hAnsi="宋体" w:eastAsia="仿宋_GB2312" w:cs="宋体"/>
          <w:kern w:val="0"/>
          <w:sz w:val="30"/>
          <w:szCs w:val="30"/>
        </w:rPr>
      </w:pPr>
    </w:p>
    <w:p w14:paraId="24CE26AB">
      <w:pPr>
        <w:spacing w:line="540" w:lineRule="exact"/>
        <w:jc w:val="center"/>
        <w:rPr>
          <w:rFonts w:hAnsi="宋体" w:eastAsia="仿宋_GB2312" w:cs="宋体"/>
          <w:kern w:val="0"/>
          <w:sz w:val="30"/>
          <w:szCs w:val="30"/>
        </w:rPr>
      </w:pPr>
    </w:p>
    <w:p w14:paraId="789AE975">
      <w:pPr>
        <w:spacing w:line="540" w:lineRule="exact"/>
        <w:jc w:val="center"/>
        <w:rPr>
          <w:rFonts w:hAnsi="宋体" w:eastAsia="仿宋_GB2312" w:cs="宋体"/>
          <w:kern w:val="0"/>
          <w:sz w:val="30"/>
          <w:szCs w:val="30"/>
        </w:rPr>
      </w:pPr>
    </w:p>
    <w:p w14:paraId="6DBB582B">
      <w:pPr>
        <w:spacing w:line="540" w:lineRule="exact"/>
        <w:rPr>
          <w:rFonts w:hAnsi="宋体" w:eastAsia="仿宋_GB2312" w:cs="宋体"/>
          <w:kern w:val="0"/>
          <w:sz w:val="30"/>
          <w:szCs w:val="30"/>
        </w:rPr>
      </w:pPr>
    </w:p>
    <w:p w14:paraId="3EDC26D9">
      <w:pPr>
        <w:spacing w:line="700" w:lineRule="exact"/>
        <w:jc w:val="left"/>
        <w:rPr>
          <w:rFonts w:hAnsi="宋体" w:eastAsia="仿宋_GB2312" w:cs="宋体"/>
          <w:kern w:val="0"/>
          <w:sz w:val="36"/>
          <w:szCs w:val="36"/>
        </w:rPr>
      </w:pPr>
    </w:p>
    <w:p w14:paraId="6336ABC7">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5"/>
          <w:rFonts w:hint="eastAsia" w:ascii="楷体" w:hAnsi="楷体" w:eastAsia="楷体"/>
          <w:spacing w:val="-4"/>
          <w:sz w:val="32"/>
          <w:szCs w:val="32"/>
        </w:rPr>
        <w:t>沙湾市实验幼儿园支付学前教育资金项目</w:t>
      </w:r>
    </w:p>
    <w:p w14:paraId="61673258">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实施单位（公章）：</w:t>
      </w:r>
      <w:r>
        <w:rPr>
          <w:rStyle w:val="5"/>
          <w:rFonts w:hint="eastAsia" w:ascii="楷体" w:hAnsi="楷体" w:eastAsia="楷体"/>
          <w:spacing w:val="-4"/>
          <w:sz w:val="32"/>
          <w:szCs w:val="32"/>
        </w:rPr>
        <w:t>沙湾市实验幼儿园</w:t>
      </w:r>
    </w:p>
    <w:p w14:paraId="77F3CC5E">
      <w:pPr>
        <w:spacing w:line="540" w:lineRule="exact"/>
        <w:ind w:firstLine="900" w:firstLineChars="250"/>
        <w:rPr>
          <w:rStyle w:val="5"/>
          <w:rFonts w:hint="eastAsia" w:ascii="楷体" w:hAnsi="楷体" w:eastAsia="楷体"/>
          <w:spacing w:val="-4"/>
          <w:sz w:val="32"/>
          <w:szCs w:val="32"/>
        </w:rPr>
      </w:pPr>
      <w:r>
        <w:rPr>
          <w:rFonts w:hint="eastAsia" w:hAnsi="宋体" w:eastAsia="仿宋_GB2312" w:cs="宋体"/>
          <w:kern w:val="0"/>
          <w:sz w:val="36"/>
          <w:szCs w:val="36"/>
        </w:rPr>
        <w:t>主管部门（公章）：</w:t>
      </w:r>
      <w:r>
        <w:rPr>
          <w:rStyle w:val="5"/>
          <w:rFonts w:hint="eastAsia" w:ascii="楷体" w:hAnsi="楷体" w:eastAsia="楷体"/>
          <w:spacing w:val="-4"/>
          <w:sz w:val="32"/>
          <w:szCs w:val="32"/>
        </w:rPr>
        <w:t>沙湾市实验幼儿园</w:t>
      </w:r>
    </w:p>
    <w:p w14:paraId="5F5C5EA9">
      <w:pPr>
        <w:spacing w:line="540" w:lineRule="exact"/>
        <w:ind w:firstLine="900" w:firstLineChars="250"/>
        <w:rPr>
          <w:rStyle w:val="5"/>
          <w:rFonts w:hint="eastAsia" w:ascii="楷体" w:hAnsi="楷体" w:eastAsia="楷体"/>
          <w:spacing w:val="-4"/>
          <w:sz w:val="32"/>
          <w:szCs w:val="32"/>
        </w:rPr>
      </w:pPr>
      <w:r>
        <w:rPr>
          <w:rFonts w:hint="eastAsia" w:hAnsi="宋体" w:eastAsia="仿宋_GB2312" w:cs="宋体"/>
          <w:kern w:val="0"/>
          <w:sz w:val="36"/>
          <w:szCs w:val="36"/>
        </w:rPr>
        <w:t>项目负责人（签章）：</w:t>
      </w:r>
      <w:r>
        <w:rPr>
          <w:rStyle w:val="5"/>
          <w:rFonts w:hint="eastAsia" w:ascii="楷体" w:hAnsi="楷体" w:eastAsia="楷体"/>
          <w:spacing w:val="-4"/>
          <w:sz w:val="32"/>
          <w:szCs w:val="32"/>
        </w:rPr>
        <w:t>张丽</w:t>
      </w:r>
    </w:p>
    <w:p w14:paraId="0BD0406A">
      <w:pPr>
        <w:spacing w:line="540" w:lineRule="exact"/>
        <w:ind w:firstLine="900" w:firstLineChars="250"/>
        <w:rPr>
          <w:rStyle w:val="5"/>
          <w:rFonts w:hint="eastAsia" w:ascii="楷体" w:hAnsi="楷体" w:eastAsia="楷体"/>
          <w:spacing w:val="-4"/>
          <w:sz w:val="32"/>
          <w:szCs w:val="32"/>
        </w:rPr>
      </w:pPr>
      <w:r>
        <w:rPr>
          <w:rFonts w:hint="eastAsia" w:hAnsi="宋体" w:eastAsia="仿宋_GB2312" w:cs="宋体"/>
          <w:kern w:val="0"/>
          <w:sz w:val="36"/>
          <w:szCs w:val="36"/>
        </w:rPr>
        <w:t>填报时间：</w:t>
      </w:r>
      <w:r>
        <w:rPr>
          <w:rStyle w:val="5"/>
          <w:rFonts w:hint="eastAsia" w:ascii="楷体" w:hAnsi="楷体" w:eastAsia="楷体"/>
          <w:spacing w:val="-4"/>
          <w:sz w:val="32"/>
          <w:szCs w:val="32"/>
        </w:rPr>
        <w:t>2024年05月06日</w:t>
      </w:r>
    </w:p>
    <w:p w14:paraId="5AC015D7">
      <w:pPr>
        <w:spacing w:line="540" w:lineRule="exact"/>
        <w:ind w:firstLine="783" w:firstLineChars="250"/>
        <w:rPr>
          <w:rStyle w:val="5"/>
          <w:rFonts w:hint="eastAsia" w:ascii="楷体" w:hAnsi="楷体" w:eastAsia="楷体"/>
          <w:spacing w:val="-4"/>
          <w:sz w:val="32"/>
          <w:szCs w:val="32"/>
        </w:rPr>
      </w:pPr>
    </w:p>
    <w:p w14:paraId="1C265544">
      <w:pPr>
        <w:rPr>
          <w:rFonts w:hint="eastAsia"/>
        </w:rPr>
      </w:pPr>
    </w:p>
    <w:p w14:paraId="5E89A2A1">
      <w:pPr>
        <w:rPr>
          <w:rFonts w:hint="eastAsia"/>
        </w:rPr>
      </w:pPr>
    </w:p>
    <w:p w14:paraId="5703A44E">
      <w:pPr>
        <w:rPr>
          <w:rFonts w:hint="eastAsia"/>
        </w:rPr>
      </w:pPr>
    </w:p>
    <w:p w14:paraId="3BA61698">
      <w:pPr>
        <w:rPr>
          <w:rFonts w:hint="eastAsia"/>
        </w:rPr>
      </w:pPr>
    </w:p>
    <w:p w14:paraId="0871E8A5">
      <w:pPr>
        <w:rPr>
          <w:rFonts w:hint="eastAsia"/>
        </w:rPr>
      </w:pPr>
    </w:p>
    <w:p w14:paraId="7E5C07A7">
      <w:pPr>
        <w:rPr>
          <w:rFonts w:hint="eastAsia"/>
        </w:rPr>
      </w:pPr>
    </w:p>
    <w:p w14:paraId="31E67C8E">
      <w:pPr>
        <w:rPr>
          <w:rFonts w:hint="eastAsia"/>
        </w:rPr>
      </w:pPr>
    </w:p>
    <w:p w14:paraId="400067DC">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outlineLvl w:val="1"/>
        <w:rPr>
          <w:rFonts w:hint="eastAsia" w:ascii="黑体" w:hAnsi="黑体" w:eastAsia="黑体" w:cs="宋体"/>
          <w:b/>
          <w:bCs w:val="0"/>
          <w:color w:val="auto"/>
          <w:kern w:val="0"/>
          <w:sz w:val="32"/>
          <w:szCs w:val="32"/>
          <w:highlight w:val="none"/>
          <w:lang w:val="en-US" w:eastAsia="zh-CN"/>
        </w:rPr>
      </w:pPr>
      <w:r>
        <w:rPr>
          <w:rFonts w:hint="eastAsia" w:ascii="黑体" w:hAnsi="黑体" w:eastAsia="黑体" w:cs="宋体"/>
          <w:b/>
          <w:bCs w:val="0"/>
          <w:color w:val="auto"/>
          <w:kern w:val="0"/>
          <w:sz w:val="32"/>
          <w:szCs w:val="32"/>
          <w:highlight w:val="none"/>
          <w:lang w:val="en-US" w:eastAsia="zh-CN"/>
        </w:rPr>
        <w:t>一、项目概况</w:t>
      </w:r>
    </w:p>
    <w:p w14:paraId="641761A4">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（一）项目单位基本情况</w:t>
      </w:r>
    </w:p>
    <w:p w14:paraId="680C4A1E">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1.项目背景</w:t>
      </w:r>
    </w:p>
    <w:p w14:paraId="6379813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沙湾市实验幼儿园保教费、伙食费项目，绩效目标情况用于幼儿园幼儿经费保障，幼儿园办公费、维修费、设备采购费、伙食费等经费开支，保障不让一个孩子因为家庭困难而失学，努力构建广覆盖、保基础、有质量的学前教育公共服务体系，促进学前教育发展水平整体提升。</w:t>
      </w:r>
    </w:p>
    <w:p w14:paraId="2799E557">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eastAsia="仿宋_GB2312" w:cs="Times New Roman"/>
          <w:color w:val="auto"/>
          <w:sz w:val="32"/>
          <w:szCs w:val="32"/>
          <w:highlight w:val="none"/>
          <w:lang w:val="en-US" w:eastAsia="zh-CN"/>
        </w:rPr>
      </w:pPr>
      <w:r>
        <w:rPr>
          <w:rFonts w:hint="eastAsia" w:ascii="楷体" w:hAnsi="楷体" w:eastAsia="楷体" w:cs="楷体"/>
          <w:b/>
          <w:bCs/>
          <w:sz w:val="32"/>
          <w:szCs w:val="32"/>
          <w:lang w:val="en-US" w:eastAsia="zh-CN"/>
        </w:rPr>
        <w:t>2.项目主要内容及实施情况</w:t>
      </w:r>
    </w:p>
    <w:p w14:paraId="7A95000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本项目主要内容为：沙湾市实验幼儿园保教费、伙食费项目。</w:t>
      </w:r>
    </w:p>
    <w:p w14:paraId="6AAB595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沙湾市实验幼儿园保教费、伙食费。根据《2023年学前三年教育、义务教育、普通高中、中职教育保障经费配套资金的通知》（沙财教[2023]07号）文件，沙湾市实验幼儿园保教费、伙食费项目预算安排资金总额107.9万元。</w:t>
      </w:r>
    </w:p>
    <w:p w14:paraId="5BDA880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本项目于2023年1月开始实施，截止2023年12月，该项目已实施完成各项任务指标全部完成，通过本项目的实施，有效解决了实验幼儿园的办公费、维修费、伙食费、设备采购费用，提升了幼儿园的保教质量及伙食质量，增强了教职工的积极性。</w:t>
      </w:r>
    </w:p>
    <w:p w14:paraId="77D87F6C">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3.项目实施主体</w:t>
      </w:r>
    </w:p>
    <w:p w14:paraId="77A468A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2023年沙湾市实验幼儿园保教费、伙食费项目的实施主体为沙湾市实验幼儿园。</w:t>
      </w:r>
    </w:p>
    <w:p w14:paraId="34E7A539">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4. 资金投入和使用情况</w:t>
      </w:r>
    </w:p>
    <w:p w14:paraId="5413A71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（1）项目资金安排落实、总投入情况</w:t>
      </w:r>
    </w:p>
    <w:p w14:paraId="52D81FA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根据沙湾市财政局《2023年学前三年教育、义务教育、普通高中、中职教育保障经费配套资金的通知》（沙财教[2023]07号）文件，沙湾市实验幼儿园保教费、伙食费项目预算安排资金总额107.9万元，其中财政资金107.9万元、其他资金0万元；2023年实际收到预算资金107.9万元，预算资金到位率为100%。</w:t>
      </w:r>
    </w:p>
    <w:p w14:paraId="6B104F9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（2）项目资金实际使用情况</w:t>
      </w:r>
    </w:p>
    <w:p w14:paraId="664D448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截至2023年12月31日，本项目实际支付资金107.9万元，预算执行率100%。项目资金主要用于支付办公用品费用34.22万元；设施设备维修费用14.79万元；；设备采购费用14.74万元；幼儿伙食费用39.15万元；水、电费5万元。</w:t>
      </w:r>
    </w:p>
    <w:p w14:paraId="5F5A3157">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（二）项目预算绩效目标设定情况</w:t>
      </w:r>
    </w:p>
    <w:p w14:paraId="5019132A">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1.总体目标</w:t>
      </w:r>
    </w:p>
    <w:p w14:paraId="49CDA5E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沙湾市实验幼儿园保教费、伙食费项目，预计2023年12月25日前支付107.9万元，项目完成支付学前教育资金项目笔数6笔，资金支付完成率100%，其中：支付购买办公用品金额34.22万元，支付幼儿园维修费支出金额14.79万元，支付幼儿园水电费支出金额5万元，支付幼儿园购买办公设备金额14.74万元，支付幼儿园伙食费39.15万元。通过项目的实施达到提高政府公信度的效果。</w:t>
      </w:r>
    </w:p>
    <w:p w14:paraId="479DFE7A">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eastAsia="仿宋_GB2312" w:cs="Times New Roman"/>
          <w:color w:val="auto"/>
          <w:sz w:val="32"/>
          <w:szCs w:val="32"/>
          <w:highlight w:val="none"/>
          <w:lang w:val="en-US" w:eastAsia="zh-CN"/>
        </w:rPr>
      </w:pPr>
      <w:r>
        <w:rPr>
          <w:rFonts w:hint="eastAsia" w:ascii="楷体" w:hAnsi="楷体" w:eastAsia="楷体" w:cs="楷体"/>
          <w:b/>
          <w:bCs/>
          <w:sz w:val="32"/>
          <w:szCs w:val="32"/>
          <w:lang w:val="en-US" w:eastAsia="zh-CN"/>
        </w:rPr>
        <w:t>2.阶段性目标</w:t>
      </w:r>
    </w:p>
    <w:p w14:paraId="7B14114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（1）项目产出指标</w:t>
      </w:r>
    </w:p>
    <w:p w14:paraId="521153A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①数量指标</w:t>
      </w:r>
    </w:p>
    <w:p w14:paraId="73654CC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“支付学前教育资金项目笔数（笔）”指标，预期指标值为“等于6笔”；</w:t>
      </w:r>
    </w:p>
    <w:p w14:paraId="19AADBB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②质量指标</w:t>
      </w:r>
    </w:p>
    <w:p w14:paraId="15177F9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“资金支付完成率（%）”指标，预期指标值为“等于100%”；</w:t>
      </w:r>
    </w:p>
    <w:p w14:paraId="2925603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③时效指标</w:t>
      </w:r>
    </w:p>
    <w:p w14:paraId="48ADC03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“项目完成时间（年月日）”指标，预期指标值为“2023年12月25日”；</w:t>
      </w:r>
    </w:p>
    <w:p w14:paraId="39EEE26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（2）项目成本指标</w:t>
      </w:r>
    </w:p>
    <w:p w14:paraId="306D8E9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①经济成本指标</w:t>
      </w:r>
    </w:p>
    <w:p w14:paraId="136C01A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“支付购买办公用品金额（万元）”指标，预期指标值为“小于等于34.22万元”；</w:t>
      </w:r>
    </w:p>
    <w:p w14:paraId="471555D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“支付幼儿园维修费支出金额（万元）”指标，预期指标值为“小于等于14.79万元”。</w:t>
      </w:r>
    </w:p>
    <w:p w14:paraId="459ACC0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“支付幼儿园水电费支出金额（万元）”指标，预期指标值为“小于等于5万元”；</w:t>
      </w:r>
    </w:p>
    <w:p w14:paraId="3921CCB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“支付幼儿园购买办公设备支出金额（万元）”指标，预期指标值为“小于等于14.74万元”。</w:t>
      </w:r>
    </w:p>
    <w:p w14:paraId="6D33701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“支付幼儿园伙食费（万元）”指标，预期指标值为“小于等于39.15万元”。</w:t>
      </w:r>
    </w:p>
    <w:p w14:paraId="20FE7D1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（3）项目效益指标</w:t>
      </w:r>
    </w:p>
    <w:p w14:paraId="0716348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①经济效益指标</w:t>
      </w:r>
    </w:p>
    <w:p w14:paraId="18F697C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无此项指标。</w:t>
      </w:r>
    </w:p>
    <w:p w14:paraId="0367445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②社会效益指标</w:t>
      </w:r>
    </w:p>
    <w:p w14:paraId="1EF9B66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“提高政府公信度”指标，预期指标值为“有效提高”；</w:t>
      </w:r>
    </w:p>
    <w:p w14:paraId="0E2A210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③生态效益指标</w:t>
      </w:r>
    </w:p>
    <w:p w14:paraId="5096A6C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无此项指标。</w:t>
      </w:r>
    </w:p>
    <w:p w14:paraId="21AFC2D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（4）相关满意度目标</w:t>
      </w:r>
    </w:p>
    <w:p w14:paraId="19078E5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“支付单位满意度（%）”指标，预期指标值为“小于等于95%”；</w:t>
      </w:r>
    </w:p>
    <w:p w14:paraId="7BEB1413">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outlineLvl w:val="1"/>
        <w:rPr>
          <w:rFonts w:hint="eastAsia" w:ascii="黑体" w:hAnsi="黑体" w:eastAsia="黑体" w:cs="宋体"/>
          <w:b/>
          <w:bCs w:val="0"/>
          <w:color w:val="auto"/>
          <w:kern w:val="0"/>
          <w:sz w:val="32"/>
          <w:szCs w:val="32"/>
          <w:highlight w:val="none"/>
          <w:lang w:val="en-US" w:eastAsia="zh-CN"/>
        </w:rPr>
      </w:pPr>
      <w:r>
        <w:rPr>
          <w:rFonts w:hint="eastAsia" w:ascii="黑体" w:hAnsi="黑体" w:eastAsia="黑体" w:cs="宋体"/>
          <w:b/>
          <w:bCs w:val="0"/>
          <w:color w:val="auto"/>
          <w:kern w:val="0"/>
          <w:sz w:val="32"/>
          <w:szCs w:val="32"/>
          <w:highlight w:val="none"/>
          <w:lang w:val="en-US" w:eastAsia="zh-CN"/>
        </w:rPr>
        <w:t>二、项目资金使用及管理情况</w:t>
      </w:r>
    </w:p>
    <w:p w14:paraId="35543F79">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（一）项目资金安排落实、总投入等情况分析</w:t>
      </w:r>
    </w:p>
    <w:p w14:paraId="4F0D34D0">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1.绩效评价的目的</w:t>
      </w:r>
    </w:p>
    <w:p w14:paraId="53E2313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14:paraId="6B5739C1">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eastAsia="仿宋_GB2312" w:cs="Times New Roman"/>
          <w:color w:val="auto"/>
          <w:sz w:val="32"/>
          <w:szCs w:val="32"/>
          <w:highlight w:val="none"/>
          <w:lang w:val="en-US" w:eastAsia="zh-CN"/>
        </w:rPr>
      </w:pPr>
      <w:r>
        <w:rPr>
          <w:rFonts w:hint="eastAsia" w:ascii="楷体" w:hAnsi="楷体" w:eastAsia="楷体" w:cs="楷体"/>
          <w:b/>
          <w:bCs/>
          <w:sz w:val="32"/>
          <w:szCs w:val="32"/>
          <w:lang w:val="en-US" w:eastAsia="zh-CN"/>
        </w:rPr>
        <w:t>2.绩效评价的对象和范围</w:t>
      </w:r>
    </w:p>
    <w:p w14:paraId="2E660C3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本次绩效评价遵循财政部《关于印发&lt;项目支出绩效评价管理办法&gt;的通知》（财预〔2020〕10号）以及自治区财政厅《自治区财政支出绩效评价管理暂行办法》（新财预〔2018〕189号）等文件规定，对2023年度我单位实施的沙湾市实验幼儿园保教费、伙食费项目（本项目的全称）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7EE9A378">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（二）项目资金实际使用情况分析</w:t>
      </w:r>
    </w:p>
    <w:p w14:paraId="2CC7ECAE">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1.绩效评价原则</w:t>
      </w:r>
    </w:p>
    <w:p w14:paraId="6A13351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沙湾市实验幼儿园保教费、伙食费项目（本项目的全称）实际开展情况，运用定量和定性分析相结合的方法，总结经验做法，反思项目实施和管理中的问题，以切实提升财政资金管理的科学化、规范化和精细化水平。</w:t>
      </w:r>
    </w:p>
    <w:p w14:paraId="23599E2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根据以上原则，绩效评价遵循如下具体要求：</w:t>
      </w:r>
    </w:p>
    <w:p w14:paraId="5AF7ED0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（1）在数据采集时，采取客观数据主管部门审查、社会中介组织复查与问卷调查相结合的形式，以保证各项指标的真实性。</w:t>
      </w:r>
    </w:p>
    <w:p w14:paraId="189C9D8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（2）保证评价结果的真实性、公正性，提高评价报告的公信力。</w:t>
      </w:r>
    </w:p>
    <w:p w14:paraId="598B97B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（3）绩效评价报告简明扼要，除对绩效评价的过程、结果描述外，还总结经验、指出问题，并就共性问题提出可操作性改进建议。</w:t>
      </w:r>
    </w:p>
    <w:p w14:paraId="09A357A9">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2.绩效评价指标体系及绩效评价标准</w:t>
      </w:r>
    </w:p>
    <w:p w14:paraId="06E56B4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p>
    <w:p w14:paraId="537C1C9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一级指标为：决策、过程、产出、成本、效益。</w:t>
      </w:r>
    </w:p>
    <w:p w14:paraId="142E354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二级指标为：项目立项、绩效目标、资金投入、资金管理、组织实施、产出数量、产出质量、产出时效、经济成本、社会成本、项目效益。</w:t>
      </w:r>
    </w:p>
    <w:p w14:paraId="34C4C34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生态效益、可持续影响、服务对象满意度。</w:t>
      </w:r>
    </w:p>
    <w:p w14:paraId="011A7439">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3.评价方法</w:t>
      </w:r>
    </w:p>
    <w:p w14:paraId="7B41431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本次评价采取定量与定性评价相结合的方式，采用比较法、公众评判法对项目实施过程以及预期绩效目标完成情况进行全面、系统的评价，总分由各项指标得分汇总形成。</w:t>
      </w:r>
    </w:p>
    <w:p w14:paraId="3466B87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14:paraId="0E56530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14:paraId="44E61D75">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4.评价标准</w:t>
      </w:r>
    </w:p>
    <w:p w14:paraId="22AC07B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0FFFCC6B">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（三）项目资金管理情况分析</w:t>
      </w:r>
    </w:p>
    <w:p w14:paraId="3CAB8AB7">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第一阶段：前期准备。</w:t>
      </w:r>
    </w:p>
    <w:p w14:paraId="6456EF3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我单位绩效评价人员根据《项目支出绩效评价管理办法》（财预〔2020〕10号）文件精神认真学习相关要求与规定，成立绩效评价工作组，作为绩效评价工作具体实施机构。成员构成如下：</w:t>
      </w:r>
    </w:p>
    <w:p w14:paraId="16AA803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张丽（书记兼园长）任评价组组长，绩效评价工作职责为检查项目绩效指标完成情况、审定项目支出绩效评价结果及项目支出绩效评价报告。</w:t>
      </w:r>
    </w:p>
    <w:p w14:paraId="55C81B9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杨海婷（财务负责人）任评价组副组长，绩效评价工作职责为组织和协调项目工作人员采取实地调查、资料检查等方式，核实项目绩效指标完成情况；组织受益对象对项目工作进行评价等。</w:t>
      </w:r>
    </w:p>
    <w:p w14:paraId="735C501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合力木哈孜（报账员）任评价组成员，绩效评价工作职责为做好项目支出绩效评价工作的沟通协调工作，对项目实施情况进行实地调查，编写项目支出绩效评价报告。</w:t>
      </w:r>
    </w:p>
    <w:p w14:paraId="1BFDB19B">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第二阶段：组织实施。</w:t>
      </w:r>
    </w:p>
    <w:p w14:paraId="1F98460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经评价组通过实地调研、查阅资料等方式，采用综合分析法对项目的决策、管理、绩效进行的综合评价分析。</w:t>
      </w:r>
    </w:p>
    <w:p w14:paraId="0B1054B1">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第三阶段：分析评价。</w:t>
      </w:r>
    </w:p>
    <w:p w14:paraId="188FCBC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首先按照指标体系进行定量、定性分析。其次开展量化打分、综合评价工作，形成初步评价结论。最后归纳整体项目情况与存在问题，撰写部门绩效评价报告。</w:t>
      </w:r>
    </w:p>
    <w:p w14:paraId="5A6B0AB4">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第四阶段：撰写与提交评价报告</w:t>
      </w:r>
    </w:p>
    <w:p w14:paraId="1C45478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项目撰写绩效评价报告，按照财政局大平台绩效系统中统一格式和文本框架撰写绩效评价报告。</w:t>
      </w:r>
    </w:p>
    <w:p w14:paraId="51ED4A5E">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第五阶段：归集档案</w:t>
      </w:r>
    </w:p>
    <w:p w14:paraId="4ECF631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建立和落实档案管理制度，将项目相关资料存档，包括但不限于：评价项目基本情况和相关文件、评价实施方案、项目支付资料等相关档案。</w:t>
      </w:r>
    </w:p>
    <w:p w14:paraId="58D92CE0">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outlineLvl w:val="1"/>
        <w:rPr>
          <w:rFonts w:hint="eastAsia" w:ascii="黑体" w:hAnsi="黑体" w:eastAsia="黑体" w:cs="宋体"/>
          <w:b/>
          <w:bCs w:val="0"/>
          <w:color w:val="auto"/>
          <w:kern w:val="0"/>
          <w:sz w:val="32"/>
          <w:szCs w:val="32"/>
          <w:highlight w:val="none"/>
          <w:lang w:val="en-US" w:eastAsia="zh-CN"/>
        </w:rPr>
      </w:pPr>
      <w:r>
        <w:rPr>
          <w:rFonts w:hint="eastAsia" w:ascii="黑体" w:hAnsi="黑体" w:eastAsia="黑体" w:cs="宋体"/>
          <w:b/>
          <w:bCs w:val="0"/>
          <w:color w:val="auto"/>
          <w:kern w:val="0"/>
          <w:sz w:val="32"/>
          <w:szCs w:val="32"/>
          <w:highlight w:val="none"/>
          <w:lang w:val="en-US" w:eastAsia="zh-CN"/>
        </w:rPr>
        <w:t>三、项目组织实施情况</w:t>
      </w:r>
    </w:p>
    <w:p w14:paraId="18DDCCDC">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highlight w:val="none"/>
          <w:lang w:val="en-US" w:eastAsia="zh-CN"/>
        </w:rPr>
      </w:pPr>
      <w:r>
        <w:rPr>
          <w:rFonts w:hint="eastAsia" w:ascii="楷体" w:hAnsi="楷体" w:eastAsia="楷体" w:cs="楷体"/>
          <w:b/>
          <w:bCs/>
          <w:sz w:val="32"/>
          <w:szCs w:val="32"/>
          <w:highlight w:val="none"/>
          <w:lang w:val="en-US" w:eastAsia="zh-CN"/>
        </w:rPr>
        <w:t>（一）项目组织情况分析</w:t>
      </w:r>
    </w:p>
    <w:p w14:paraId="0A251E7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楷体" w:hAnsi="楷体" w:eastAsia="楷体" w:cs="楷体"/>
          <w:b w:val="0"/>
          <w:bCs w:val="0"/>
          <w:sz w:val="32"/>
          <w:szCs w:val="32"/>
          <w:lang w:val="en-US" w:eastAsia="zh-CN"/>
        </w:rPr>
      </w:pPr>
      <w:r>
        <w:rPr>
          <w:rFonts w:hint="eastAsia" w:ascii="楷体" w:hAnsi="楷体" w:eastAsia="楷体" w:cs="楷体"/>
          <w:b w:val="0"/>
          <w:bCs w:val="0"/>
          <w:sz w:val="32"/>
          <w:szCs w:val="32"/>
          <w:lang w:val="en-US" w:eastAsia="zh-CN"/>
        </w:rPr>
        <w:t>（一）综合评价情况</w:t>
      </w:r>
    </w:p>
    <w:p w14:paraId="45EE1F3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通过沙湾市实验幼儿园保教费、伙食费项目的实施，解决了幼儿园的实际问题，2023年12月25日前支付学前教育资金项目6笔、资金支付完成率为100%；支付购买办公用品34.22万元；支付幼儿园维修费支出14.79万元；支付幼儿园水电费支出金额5万元；支付幼儿园购买办公设备金额14.74万元；支付幼儿园伙食费39.15万元；支付单位满意度为100%；有效提高政府公信度。</w:t>
      </w:r>
    </w:p>
    <w:p w14:paraId="486CFD8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该项目预算执行率达100%，项目预期绩效目标及各项具体指标均已全部达成。</w:t>
      </w:r>
    </w:p>
    <w:p w14:paraId="7B54613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楷体" w:hAnsi="楷体" w:eastAsia="楷体" w:cs="楷体"/>
          <w:b w:val="0"/>
          <w:bCs w:val="0"/>
          <w:sz w:val="32"/>
          <w:szCs w:val="32"/>
          <w:lang w:val="en-US" w:eastAsia="zh-CN"/>
        </w:rPr>
      </w:pPr>
      <w:r>
        <w:rPr>
          <w:rFonts w:hint="eastAsia" w:ascii="楷体" w:hAnsi="楷体" w:eastAsia="楷体" w:cs="楷体"/>
          <w:b w:val="0"/>
          <w:bCs w:val="0"/>
          <w:sz w:val="32"/>
          <w:szCs w:val="32"/>
          <w:lang w:val="en-US" w:eastAsia="zh-CN"/>
        </w:rPr>
        <w:t>（二）综合评价结论</w:t>
      </w:r>
    </w:p>
    <w:p w14:paraId="4197B6D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本次评价采取定量与定性评价相结合的方式，对沙湾市实验幼儿园保教费、伙食费项目的绩效目标和各项具体绩效指标实现情况进行了</w:t>
      </w:r>
      <w:bookmarkStart w:id="0" w:name="_GoBack"/>
      <w:bookmarkEnd w:id="0"/>
      <w:r>
        <w:rPr>
          <w:rFonts w:hint="eastAsia" w:ascii="仿宋_GB2312" w:eastAsia="仿宋_GB2312" w:cs="Times New Roman"/>
          <w:color w:val="auto"/>
          <w:sz w:val="32"/>
          <w:szCs w:val="32"/>
          <w:highlight w:val="none"/>
          <w:lang w:val="en-US" w:eastAsia="zh-CN"/>
        </w:rPr>
        <w:t>客观评价，最终评分为100分。绩效评级为“优”，具体得分情况为：项目决策15分、项目过程15分、项目产出40分、项目效益20分、项目满意度10分。</w:t>
      </w:r>
    </w:p>
    <w:p w14:paraId="391ADD3D">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（二）项目管理情况分析</w:t>
      </w:r>
    </w:p>
    <w:p w14:paraId="3987313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项目决策类指标从项目立项、绩效目标和资金投入三个方面评价项目前期准备工作，权重分值为 15 分，本项目实际得分14分，得分率为93.3%。具体各项指标得分如下：</w:t>
      </w:r>
    </w:p>
    <w:p w14:paraId="3D17A5F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1.立项依据充分性：本项目是由沙湾市实验幼儿园单位提出申报，于2023年01月批复设立，2023年我单位根据2023年沙湾市实验幼儿园学前教育县市配套资金（沙财字[2023]06号）文件要求组织实施该项目。项目立项符合国家法律法规、自治区和地区行业发展规划和政策要求，属于本部门履职所需。根据评分标准，该指标2.5分，得2.5分。</w:t>
      </w:r>
    </w:p>
    <w:p w14:paraId="3159D38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2.立项程序规范性：根据决策依据编制工作计划和经费预算，经过与部门市政府分管领导进行沟通、筛选确定经费预算计划，上党委会研究确定最终预算方案。根据评分标准，该指标2.5分，得2.5分。</w:t>
      </w:r>
    </w:p>
    <w:p w14:paraId="36CED7E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3.绩效目标合理性：本项目制定了项目支出绩效目标，明确了项目总体思路及总目标、并对项目任务进行了详细分解，对目标进行了细化。根据评分标准，该指标3分，得2分。</w:t>
      </w:r>
    </w:p>
    <w:p w14:paraId="2C79757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4.绩效指标明确性：本项目已将项目绩效目标细化分解为具体的绩效指标，并通过清晰、可衡量的指标值予以体现，与项目目标任务数或计划数相对应。根据评分标准，该指标2分，得2分。</w:t>
      </w:r>
    </w:p>
    <w:p w14:paraId="3D85CEC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5.预算编制科学性：预算编制经过科学论证，内容与项目内容匹配，项目投资额与工作任务相匹配，根据评分标准，该指标3分，得3分。</w:t>
      </w:r>
    </w:p>
    <w:p w14:paraId="6BD8D25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6.资金分配合理性：本项目资金分配依据充分，资金分配额度合理，与项目地方实际相适应。根据评分标准，该指标2分，得2分。</w:t>
      </w:r>
    </w:p>
    <w:p w14:paraId="5A8B9036">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outlineLvl w:val="1"/>
        <w:rPr>
          <w:rFonts w:hint="eastAsia" w:ascii="黑体" w:hAnsi="黑体" w:eastAsia="黑体" w:cs="宋体"/>
          <w:b/>
          <w:bCs w:val="0"/>
          <w:color w:val="auto"/>
          <w:kern w:val="0"/>
          <w:sz w:val="32"/>
          <w:szCs w:val="32"/>
          <w:highlight w:val="none"/>
          <w:lang w:val="en-US" w:eastAsia="zh-CN"/>
        </w:rPr>
      </w:pPr>
      <w:r>
        <w:rPr>
          <w:rFonts w:hint="eastAsia" w:ascii="黑体" w:hAnsi="黑体" w:eastAsia="黑体" w:cs="宋体"/>
          <w:b/>
          <w:bCs w:val="0"/>
          <w:color w:val="auto"/>
          <w:kern w:val="0"/>
          <w:sz w:val="32"/>
          <w:szCs w:val="32"/>
          <w:highlight w:val="none"/>
          <w:lang w:val="en-US" w:eastAsia="zh-CN"/>
        </w:rPr>
        <w:t xml:space="preserve">四、项目绩效情况 </w:t>
      </w:r>
    </w:p>
    <w:p w14:paraId="76FDE3B8">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（一）项目绩效目标完成情况分析</w:t>
      </w:r>
    </w:p>
    <w:p w14:paraId="0E8A6D4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项目过程类指标包括资金管理和组织实施两方面的内容，由 5个三级指标构成，权重分值为15分，本项目实际得分15分，得分率为100%。具体各项指标得分如下：</w:t>
      </w:r>
    </w:p>
    <w:p w14:paraId="415C545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 xml:space="preserve">1.资金到位率：该项目所需财政资金能够足额拨付到位，牵头单位能够及时足额按照合同约定将专项资金拨付给单位，根据评分标准，该指标2分，得2分。   </w:t>
      </w:r>
    </w:p>
    <w:p w14:paraId="3F5070D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2.预算执行率：本项目预算编制较为详细，预算资金107.9万元，实际执行107.9万元，预算执行率为100%，项目资金支出总体能够按照预算执行，根据评分标准，该指标2分，得2分。</w:t>
      </w:r>
    </w:p>
    <w:p w14:paraId="14A6243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3.资金使用合规性：项目任务下达后，我单位制定了《财务监管制度》制度和管理规定对经费使用进行规范管理，财务制度健全、执行严格；同时，资金的拨付有完整的审批程序和手续，符合项目预算批复或合同规定的用途，不存在截留、挤占、挪用、虚列支出等情况。</w:t>
      </w:r>
    </w:p>
    <w:p w14:paraId="1407680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根据评分标准，该指标3分，得3分。</w:t>
      </w:r>
    </w:p>
    <w:p w14:paraId="2378F25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4.管理制度健全性：我单位制定了《财务监管制度》等相关项目管理办法，同时对财政专项资金进行严格管理，基本做到了专款专用，根据评分标准，该指标4分，得4分。</w:t>
      </w:r>
    </w:p>
    <w:p w14:paraId="2F56520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5.制度执行有效性：根据现场调研和资料抽查情况，严格遵守相关法律法规和相关管理规定，项目调整及支出调整手续完备，整体管理合理有序，项目完成后，及时将会计凭证、固定资产入库单等相关资料分类归档，制度执行有效该指标4分，得4分。</w:t>
      </w:r>
    </w:p>
    <w:p w14:paraId="135A97DA">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（二）项目绩效目标未完成原因分析</w:t>
      </w:r>
    </w:p>
    <w:p w14:paraId="02FFF2B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项目产出类指标包括产出数量、产出质量、产出时效、产出成本共四方面的内容，由7个三级指标构成，权重分为40分，本项目实际得分40分，得分率为100%。具体各项指标得分如下：</w:t>
      </w:r>
    </w:p>
    <w:p w14:paraId="396BD69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1. 产出数量</w:t>
      </w:r>
    </w:p>
    <w:p w14:paraId="57F5C23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“支付学前教育资金项目笔数（笔）”指标，预期指标值为“等于6笔”，根据幼儿园支付凭证可知，实际完成值6笔，与预期目标一致，根据评分标准，该指标10分，得10分。</w:t>
      </w:r>
    </w:p>
    <w:p w14:paraId="25D03CE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2.产出质量</w:t>
      </w:r>
    </w:p>
    <w:p w14:paraId="6FDF060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资金支付完成率（%）”指标，预期指标值为“100%”，“资金支付完成率（%）”指标，预期指标值为“100%”，根据现场核查，幼儿园监管制度，幼儿园办公用品采购、设备采购、维修等，有效利用率达100%，与预期目标一致，根据评分标准，该指标10分，得10分。</w:t>
      </w:r>
    </w:p>
    <w:p w14:paraId="161C3D0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3.产出时效</w:t>
      </w:r>
    </w:p>
    <w:p w14:paraId="1990D1B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“项目完成时间（年月日）”指标，预期指标值为“2023年12月25日前”；根据资金支付凭证显示，该项目于2023年12月25日前全部支付完毕，与预期目标指标一致，根据评分标准，该指标10分，得10分。</w:t>
      </w:r>
    </w:p>
    <w:p w14:paraId="22631AB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4.产出成本</w:t>
      </w:r>
    </w:p>
    <w:p w14:paraId="3BAF2A0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支付购买办公用品金额（万元）”指标，预期指标值为“小于等于34.22万元”，根据资金支付凭证显示，本项目2023年共计支付办公用品款34.22万元，经费支出能够控制在年度计划成本范围内，根据评分标准，该指标2分，得2分。</w:t>
      </w:r>
    </w:p>
    <w:p w14:paraId="17C0880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支付幼儿园维修费支出金额（万元）”指标，预期指标值为“小于等于14.79万元”根据资金支付凭证显示，本项目2023年共计支付维修款14.79万元，经费支出能够控制在年度计划成本范围内，根据评分标准，该指标2分，得2分。</w:t>
      </w:r>
    </w:p>
    <w:p w14:paraId="340A88F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支付幼儿园水电费支出金额（万元）”指标，预期指标值为“小于等于5万元”，根据资金支付凭证显示，本项目2023年共计支付水电费5万元，经费支出能够控制在年度计划成本范围内，根据评分标准，该指标2分，得2分。</w:t>
      </w:r>
    </w:p>
    <w:p w14:paraId="1F20E65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支付幼儿园购买办公设备支出金额（万元）”指标，预期指标值为“小于等于14.74万元”，根据资金支付凭证显示，本项目2023年共计支付采购款14.74万元，经费支出能够控制在年度计划成本范围内，根据评分标准，该指标2分，得2分。</w:t>
      </w:r>
    </w:p>
    <w:p w14:paraId="65E6C9B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支付幼儿园伙食费（万元）”指标，预期指标值为“小于等于39.15万元”。根据资金支付凭证显示，本项目2023年共计支付采购款39.15万元，经费支出能够控制在年度计划成本范围内，根据评分标准，该指标2分，得2分。</w:t>
      </w:r>
    </w:p>
    <w:p w14:paraId="3BDBFD9D">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outlineLvl w:val="1"/>
        <w:rPr>
          <w:rFonts w:hint="eastAsia" w:ascii="黑体" w:hAnsi="黑体" w:eastAsia="黑体" w:cs="宋体"/>
          <w:b/>
          <w:bCs w:val="0"/>
          <w:color w:val="auto"/>
          <w:kern w:val="0"/>
          <w:sz w:val="32"/>
          <w:szCs w:val="32"/>
          <w:highlight w:val="none"/>
          <w:lang w:val="en-US" w:eastAsia="zh-CN"/>
        </w:rPr>
      </w:pPr>
      <w:r>
        <w:rPr>
          <w:rFonts w:hint="eastAsia" w:ascii="黑体" w:hAnsi="黑体" w:eastAsia="黑体" w:cs="宋体"/>
          <w:b/>
          <w:bCs w:val="0"/>
          <w:color w:val="auto"/>
          <w:kern w:val="0"/>
          <w:sz w:val="32"/>
          <w:szCs w:val="32"/>
          <w:highlight w:val="none"/>
          <w:lang w:val="en-US" w:eastAsia="zh-CN"/>
        </w:rPr>
        <w:t>五、其他需要说明的问题</w:t>
      </w:r>
    </w:p>
    <w:p w14:paraId="4245D18F">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（一）后续工作计划</w:t>
      </w:r>
    </w:p>
    <w:p w14:paraId="22B73D9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项目效益类指标由社会效益1个二级指标和2个三级指标构成，权重分为20分，本项目实际得分20分，得分率为100%。具体各项指标得分如下：</w:t>
      </w:r>
    </w:p>
    <w:p w14:paraId="13162D6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1.社会效益指标</w:t>
      </w:r>
    </w:p>
    <w:p w14:paraId="3573A89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“提高政府公信度”指标，预期指标值为“有效提高”，根据本单位监管制度，实际完成值为“基本达成目标”根据评分标准，该指标20分，得20分。</w:t>
      </w:r>
    </w:p>
    <w:p w14:paraId="38FC34B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2.经济效益指标</w:t>
      </w:r>
    </w:p>
    <w:p w14:paraId="2E1AE0F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“本项目无该项指标。”</w:t>
      </w:r>
    </w:p>
    <w:p w14:paraId="4AA3620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3.生态效益指标</w:t>
      </w:r>
    </w:p>
    <w:p w14:paraId="36F388D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“本项目无该项指标。”</w:t>
      </w:r>
    </w:p>
    <w:p w14:paraId="5C4CF2B8">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（二）主要经验及做法、存在问题和建议</w:t>
      </w:r>
    </w:p>
    <w:p w14:paraId="3D8ABB0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“支付单位满意度（%）”指标，预期指标值为“等于100%”，根据对支付单位进行满意度回访调查的结果可知，支付单位满意度达100%，根据评分标准，该指标10分,得10分。</w:t>
      </w:r>
    </w:p>
    <w:p w14:paraId="549500DA">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（三）其他</w:t>
      </w:r>
    </w:p>
    <w:p w14:paraId="3D7FA39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（一）预算执行进度</w:t>
      </w:r>
    </w:p>
    <w:p w14:paraId="7BECD73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沙湾市实验幼儿园保教费、伙食费项目预算金额107.9万元，实际到位107.9万元，全年项目实际支出107.9万元，预算执行率为100%。</w:t>
      </w:r>
    </w:p>
    <w:p w14:paraId="5AC14EB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（二）绩效指标偏差情况</w:t>
      </w:r>
    </w:p>
    <w:p w14:paraId="399FF3E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2023年本单位负责实施的沙湾市实验幼儿园保教费、伙食费项目的绩效目标及指标已经全部达成，不存在偏差情况。</w:t>
      </w:r>
    </w:p>
    <w:p w14:paraId="26583C4A">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outlineLvl w:val="1"/>
        <w:rPr>
          <w:rFonts w:hint="eastAsia" w:ascii="黑体" w:hAnsi="黑体" w:eastAsia="黑体" w:cs="宋体"/>
          <w:b/>
          <w:bCs w:val="0"/>
          <w:color w:val="auto"/>
          <w:kern w:val="0"/>
          <w:sz w:val="32"/>
          <w:szCs w:val="32"/>
          <w:highlight w:val="none"/>
          <w:lang w:val="en-US" w:eastAsia="zh-CN"/>
        </w:rPr>
      </w:pPr>
      <w:r>
        <w:rPr>
          <w:rFonts w:hint="eastAsia" w:ascii="黑体" w:hAnsi="黑体" w:eastAsia="黑体" w:cs="宋体"/>
          <w:b/>
          <w:bCs w:val="0"/>
          <w:color w:val="auto"/>
          <w:kern w:val="0"/>
          <w:sz w:val="32"/>
          <w:szCs w:val="32"/>
          <w:highlight w:val="none"/>
          <w:lang w:val="en-US" w:eastAsia="zh-CN"/>
        </w:rPr>
        <w:t>六、项目评价工作情况</w:t>
      </w:r>
    </w:p>
    <w:p w14:paraId="45165D7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包括评价基础数据收集、资料来源和依据等佐证材料情况，项目现场勘验检查核实等情况</w:t>
      </w:r>
    </w:p>
    <w:p w14:paraId="049C8E6E">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（一）主要经验及做法</w:t>
      </w:r>
    </w:p>
    <w:p w14:paraId="140637B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1.依据国家财经法规和财务管理制度以及有关专项资金管理办法的规定，资金的拨付有完整的审批程序和手续，符合项目预算批复或合同规定的用途，不存在截留、挤占、挪用、虚列支出等情况制定相应的财务和业务管理制度。财务和业务管理制度合法、合规、完整。</w:t>
      </w:r>
    </w:p>
    <w:p w14:paraId="2BB1A26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2.本单位成立专门的项目负责领导小组，对该项目的事前、事中、事后进行监督与跟踪，确保该项目按时保质完成，并对该项目资金进行严格检查，使项目资金完全用于本次项目。</w:t>
      </w:r>
    </w:p>
    <w:p w14:paraId="2373339C">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（二）存在问题及原因分析</w:t>
      </w:r>
    </w:p>
    <w:p w14:paraId="43E1747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1、本单位的项目领导小组，对该项目的事前、事中、事后进行监督与跟踪，但在项目实施过程中仍存在不全面的地方，对项目的部分细节有所疏忽。</w:t>
      </w:r>
    </w:p>
    <w:p w14:paraId="014DA39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2.对项目档案管理有待进一步规范。项目档案管理专业性较弱。</w:t>
      </w:r>
    </w:p>
    <w:p w14:paraId="6EC128F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3.本单位的项目领导小组，能够对该项目的事前、事中、事后进行监督与跟踪，但在项目实施过程中仍存在不全面的地方，对项目的部分细节有所疏忽。针对这种情况，进一步增强责任心。</w:t>
      </w:r>
    </w:p>
    <w:p w14:paraId="150E4FB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p>
    <w:p w14:paraId="235CDBF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p>
    <w:p w14:paraId="373FA56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p>
    <w:p w14:paraId="7DCC9FA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p>
    <w:p w14:paraId="6BC7833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p>
    <w:p w14:paraId="0787E48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p>
    <w:p w14:paraId="1210651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p>
    <w:p w14:paraId="42A9222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p>
    <w:p w14:paraId="6012420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p>
    <w:p w14:paraId="6B44FDD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p>
    <w:p w14:paraId="214BDCF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p>
    <w:p w14:paraId="1FE251E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p>
    <w:p w14:paraId="0E6482C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p>
    <w:p w14:paraId="7F91AC6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cs="Times New Roman"/>
          <w:color w:val="auto"/>
          <w:sz w:val="32"/>
          <w:szCs w:val="32"/>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zMTA0ZjdhNTE2MGYwMzg2YjkyNzkwNmNhMGZmNzQifQ=="/>
  </w:docVars>
  <w:rsids>
    <w:rsidRoot w:val="37E96980"/>
    <w:rsid w:val="035241C7"/>
    <w:rsid w:val="041347A5"/>
    <w:rsid w:val="09DE76CE"/>
    <w:rsid w:val="37E969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0"/>
    <w:pPr>
      <w:keepNext/>
      <w:keepLines/>
      <w:outlineLvl w:val="2"/>
    </w:pPr>
    <w:rPr>
      <w:rFonts w:ascii="仿宋_GB2312" w:hAnsi="仿宋_GB2312" w:eastAsia="仿宋_GB2312"/>
      <w:b/>
      <w:bCs/>
      <w:szCs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5">
    <w:name w:val="Strong"/>
    <w:basedOn w:val="4"/>
    <w:qFormat/>
    <w:uiPriority w:val="0"/>
    <w:rPr>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6825</Words>
  <Characters>7224</Characters>
  <Lines>0</Lines>
  <Paragraphs>0</Paragraphs>
  <TotalTime>1</TotalTime>
  <ScaleCrop>false</ScaleCrop>
  <LinksUpToDate>false</LinksUpToDate>
  <CharactersWithSpaces>7234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2024-09-25T11:19:00Z</dcterms:created>
  <dc:creator>Administrator</dc:creator>
  <cp:lastModifiedBy>可爱死算了</cp:lastModifiedBy>
  <dcterms:modified xsi:type="dcterms:W3CDTF">2024-11-08T11:54:19Z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FBB4E60BFB1A43A198FD3F77BC480ACF_12</vt:lpwstr>
  </property>
</Properties>
</file>